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55"/>
      </w:tblGrid>
      <w:tr w:rsidR="00F37873" w:rsidRPr="00B26415" w:rsidTr="00DB5EC7">
        <w:trPr>
          <w:trHeight w:val="340"/>
        </w:trPr>
        <w:tc>
          <w:tcPr>
            <w:tcW w:w="9555" w:type="dxa"/>
            <w:hideMark/>
          </w:tcPr>
          <w:p w:rsidR="00F37873" w:rsidRPr="00B26415" w:rsidRDefault="00F3787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</w:p>
        </w:tc>
      </w:tr>
    </w:tbl>
    <w:p w:rsidR="00F37873" w:rsidRPr="00536DA8" w:rsidRDefault="00172463" w:rsidP="00F37873">
      <w:pPr>
        <w:jc w:val="center"/>
        <w:rPr>
          <w:rFonts w:eastAsia="Arial Unicode MS"/>
          <w:b/>
          <w:kern w:val="2"/>
          <w:sz w:val="24"/>
          <w:szCs w:val="24"/>
        </w:rPr>
      </w:pPr>
      <w:r w:rsidRPr="00536DA8">
        <w:rPr>
          <w:rFonts w:eastAsia="Arial Unicode MS"/>
          <w:b/>
          <w:sz w:val="24"/>
          <w:szCs w:val="24"/>
        </w:rPr>
        <w:t xml:space="preserve">ИНФОРМАЦИЯ </w:t>
      </w:r>
      <w:r w:rsidR="008939E1" w:rsidRPr="00536DA8">
        <w:rPr>
          <w:rFonts w:eastAsia="Arial Unicode MS"/>
          <w:b/>
          <w:sz w:val="24"/>
          <w:szCs w:val="24"/>
        </w:rPr>
        <w:t xml:space="preserve">О </w:t>
      </w:r>
      <w:r w:rsidR="00F37873" w:rsidRPr="00536DA8">
        <w:rPr>
          <w:rFonts w:eastAsia="Arial Unicode MS"/>
          <w:b/>
          <w:sz w:val="24"/>
          <w:szCs w:val="24"/>
        </w:rPr>
        <w:t>РЕЗУЛЬТАТАХ КОНТРОЛЬНОГО МЕРОПРИЯТИЯ</w:t>
      </w:r>
    </w:p>
    <w:p w:rsidR="00F37873" w:rsidRPr="00536DA8" w:rsidRDefault="00F37873" w:rsidP="00F37873">
      <w:pPr>
        <w:rPr>
          <w:rFonts w:eastAsia="Lucida Sans Unicode"/>
          <w:sz w:val="24"/>
          <w:szCs w:val="24"/>
        </w:rPr>
      </w:pPr>
    </w:p>
    <w:p w:rsidR="00EA1ED6" w:rsidRDefault="00EA1ED6" w:rsidP="00EA1ED6">
      <w:pPr>
        <w:pStyle w:val="ConsNormal"/>
        <w:widowControl/>
        <w:tabs>
          <w:tab w:val="left" w:pos="1800"/>
        </w:tabs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DF69D9">
        <w:rPr>
          <w:rFonts w:ascii="Times New Roman" w:hAnsi="Times New Roman"/>
          <w:b/>
          <w:sz w:val="24"/>
          <w:szCs w:val="24"/>
        </w:rPr>
        <w:t>Проверка формирования объема финансового обеспечения муниципального задания на оказание муниципальной услуги «Показ кинофильмов» для муниципального бюджетного учреждения «Юпитер» Александровского городского поселения на 2023 год и плановый период 2024 и 2025 годы.</w:t>
      </w:r>
    </w:p>
    <w:p w:rsidR="00172463" w:rsidRPr="00536DA8" w:rsidRDefault="00172463" w:rsidP="005035D9">
      <w:pPr>
        <w:ind w:firstLine="567"/>
        <w:jc w:val="both"/>
        <w:rPr>
          <w:b/>
          <w:sz w:val="24"/>
          <w:szCs w:val="24"/>
        </w:rPr>
      </w:pPr>
    </w:p>
    <w:p w:rsidR="005035D9" w:rsidRPr="00536DA8" w:rsidRDefault="005035D9" w:rsidP="005035D9">
      <w:pPr>
        <w:jc w:val="both"/>
        <w:rPr>
          <w:rFonts w:eastAsia="Lucida Sans Unicode"/>
          <w:sz w:val="24"/>
          <w:szCs w:val="24"/>
        </w:rPr>
      </w:pPr>
    </w:p>
    <w:p w:rsidR="005035D9" w:rsidRPr="00536DA8" w:rsidRDefault="00172463" w:rsidP="005035D9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>В соответствии с</w:t>
      </w:r>
      <w:r w:rsidR="009C79E3" w:rsidRPr="00536DA8">
        <w:rPr>
          <w:sz w:val="24"/>
          <w:szCs w:val="24"/>
        </w:rPr>
        <w:t xml:space="preserve"> </w:t>
      </w:r>
      <w:r w:rsidRPr="00536DA8">
        <w:rPr>
          <w:sz w:val="24"/>
          <w:szCs w:val="24"/>
        </w:rPr>
        <w:t>План</w:t>
      </w:r>
      <w:r w:rsidR="003754C7" w:rsidRPr="00536DA8">
        <w:rPr>
          <w:sz w:val="24"/>
          <w:szCs w:val="24"/>
        </w:rPr>
        <w:t>ом</w:t>
      </w:r>
      <w:r w:rsidRPr="00536DA8">
        <w:rPr>
          <w:sz w:val="24"/>
          <w:szCs w:val="24"/>
        </w:rPr>
        <w:t xml:space="preserve"> работы Контрольно-счетной палаты Александровского муниципального округа на </w:t>
      </w:r>
      <w:r w:rsidR="005035D9" w:rsidRPr="00536DA8">
        <w:rPr>
          <w:sz w:val="24"/>
          <w:szCs w:val="24"/>
        </w:rPr>
        <w:t>202</w:t>
      </w:r>
      <w:r w:rsidR="00EA1ED6">
        <w:rPr>
          <w:sz w:val="24"/>
          <w:szCs w:val="24"/>
        </w:rPr>
        <w:t>3</w:t>
      </w:r>
      <w:r w:rsidRPr="00536DA8">
        <w:rPr>
          <w:sz w:val="24"/>
          <w:szCs w:val="24"/>
        </w:rPr>
        <w:t xml:space="preserve"> год проведена </w:t>
      </w:r>
      <w:r w:rsidR="005035D9" w:rsidRPr="00536DA8">
        <w:rPr>
          <w:sz w:val="24"/>
          <w:szCs w:val="24"/>
        </w:rPr>
        <w:t xml:space="preserve">проверка </w:t>
      </w:r>
      <w:r w:rsidR="00EA1ED6" w:rsidRPr="00EA1ED6">
        <w:rPr>
          <w:sz w:val="24"/>
          <w:szCs w:val="24"/>
        </w:rPr>
        <w:t>формирования объема финансового обеспечения муниципального задания на оказание муниципальной услуги «Показ кинофильмов» для муниципального бюджетного учреждения «Юпитер» Александровского городского поселения на 2023 год и плановый период 2024 и 2025 годы.</w:t>
      </w:r>
    </w:p>
    <w:p w:rsidR="00DE3DF5" w:rsidRPr="00536DA8" w:rsidRDefault="00DE3DF5" w:rsidP="005035D9">
      <w:pPr>
        <w:ind w:firstLine="567"/>
        <w:jc w:val="both"/>
        <w:rPr>
          <w:sz w:val="24"/>
          <w:szCs w:val="24"/>
        </w:rPr>
      </w:pPr>
      <w:r w:rsidRPr="00536DA8">
        <w:rPr>
          <w:sz w:val="24"/>
          <w:szCs w:val="24"/>
        </w:rPr>
        <w:t xml:space="preserve">Объекты контрольного мероприятия: </w:t>
      </w:r>
    </w:p>
    <w:p w:rsidR="00EA1ED6" w:rsidRDefault="00EA1ED6" w:rsidP="003754C7">
      <w:pPr>
        <w:ind w:firstLine="567"/>
        <w:jc w:val="both"/>
        <w:rPr>
          <w:sz w:val="24"/>
          <w:szCs w:val="24"/>
        </w:rPr>
      </w:pPr>
      <w:r w:rsidRPr="00EA1ED6">
        <w:rPr>
          <w:sz w:val="24"/>
          <w:szCs w:val="24"/>
        </w:rPr>
        <w:t xml:space="preserve">Администрация Александровского муниципального округа </w:t>
      </w:r>
    </w:p>
    <w:p w:rsidR="0061672F" w:rsidRPr="00536DA8" w:rsidRDefault="00172463" w:rsidP="005C2249">
      <w:pPr>
        <w:pStyle w:val="Default"/>
        <w:ind w:firstLine="567"/>
        <w:jc w:val="both"/>
        <w:rPr>
          <w:i/>
          <w:color w:val="auto"/>
        </w:rPr>
      </w:pPr>
      <w:r w:rsidRPr="00536DA8">
        <w:rPr>
          <w:i/>
          <w:color w:val="auto"/>
        </w:rPr>
        <w:t>По результатам контрольного мероприятия Контрольно-счетной палатой установлено следующее.</w:t>
      </w:r>
    </w:p>
    <w:p w:rsidR="00EA1ED6" w:rsidRDefault="00EA1ED6" w:rsidP="005C2249">
      <w:pPr>
        <w:ind w:firstLine="567"/>
        <w:jc w:val="both"/>
        <w:rPr>
          <w:sz w:val="24"/>
          <w:szCs w:val="24"/>
        </w:rPr>
      </w:pPr>
      <w:r w:rsidRPr="00EA1ED6">
        <w:rPr>
          <w:sz w:val="24"/>
          <w:szCs w:val="24"/>
        </w:rPr>
        <w:t>Администрация Александровского муниципального округа</w:t>
      </w:r>
      <w:r>
        <w:rPr>
          <w:sz w:val="24"/>
          <w:szCs w:val="24"/>
        </w:rPr>
        <w:t xml:space="preserve"> (далее - Администрация</w:t>
      </w:r>
      <w:r w:rsidRPr="00EA1ED6">
        <w:rPr>
          <w:sz w:val="24"/>
          <w:szCs w:val="24"/>
        </w:rPr>
        <w:t xml:space="preserve"> АМО</w:t>
      </w:r>
      <w:r>
        <w:rPr>
          <w:sz w:val="24"/>
          <w:szCs w:val="24"/>
        </w:rPr>
        <w:t>)</w:t>
      </w:r>
      <w:r w:rsidRPr="00EA1ED6">
        <w:rPr>
          <w:sz w:val="24"/>
          <w:szCs w:val="24"/>
        </w:rPr>
        <w:t xml:space="preserve"> является учредителем и собственником имущества муниципального бюджетного учреждения «Юпитер» Александровского городского поселения (далее – МБУ «Юпитер»). Администрация АМО формирует, утверждает и осуществляет финансовое обеспечение выполнения муниципального задания на оказание муниципальных услуг МБУ «Юпитер».</w:t>
      </w:r>
    </w:p>
    <w:p w:rsidR="00EA1ED6" w:rsidRPr="00536DA8" w:rsidRDefault="00EA1ED6" w:rsidP="00EA1ED6">
      <w:pPr>
        <w:ind w:firstLine="567"/>
        <w:jc w:val="both"/>
        <w:rPr>
          <w:rFonts w:eastAsia="Calibri"/>
          <w:sz w:val="24"/>
          <w:szCs w:val="24"/>
        </w:rPr>
      </w:pPr>
      <w:r w:rsidRPr="00536DA8">
        <w:rPr>
          <w:rFonts w:eastAsia="Calibri"/>
          <w:sz w:val="24"/>
          <w:szCs w:val="24"/>
        </w:rPr>
        <w:t>В соответствии с Устав</w:t>
      </w:r>
      <w:r>
        <w:rPr>
          <w:rFonts w:eastAsia="Calibri"/>
          <w:sz w:val="24"/>
          <w:szCs w:val="24"/>
        </w:rPr>
        <w:t>ом</w:t>
      </w:r>
      <w:r w:rsidRPr="00536DA8">
        <w:rPr>
          <w:rFonts w:eastAsia="Calibri"/>
          <w:sz w:val="24"/>
          <w:szCs w:val="24"/>
        </w:rPr>
        <w:t xml:space="preserve"> Учреждение</w:t>
      </w:r>
      <w:r w:rsidRPr="00EA1ED6">
        <w:rPr>
          <w:rFonts w:eastAsia="Calibri"/>
          <w:sz w:val="24"/>
          <w:szCs w:val="24"/>
        </w:rPr>
        <w:t xml:space="preserve"> МБУ «Юпитер» </w:t>
      </w:r>
      <w:r w:rsidRPr="00536DA8">
        <w:rPr>
          <w:rFonts w:eastAsia="Calibri"/>
          <w:sz w:val="24"/>
          <w:szCs w:val="24"/>
        </w:rPr>
        <w:t xml:space="preserve"> осуществляет следующие основные виды деятельности:</w:t>
      </w:r>
    </w:p>
    <w:p w:rsidR="00EA1ED6" w:rsidRPr="00EA1ED6" w:rsidRDefault="00EA1ED6" w:rsidP="00EA1ED6">
      <w:pPr>
        <w:ind w:firstLine="567"/>
        <w:jc w:val="both"/>
        <w:rPr>
          <w:rFonts w:eastAsia="Calibri"/>
          <w:sz w:val="24"/>
          <w:szCs w:val="24"/>
        </w:rPr>
      </w:pPr>
      <w:r w:rsidRPr="00EA1ED6">
        <w:rPr>
          <w:rFonts w:eastAsia="Calibri"/>
          <w:sz w:val="24"/>
          <w:szCs w:val="24"/>
        </w:rPr>
        <w:t>- деятельность в области спорта;</w:t>
      </w:r>
    </w:p>
    <w:p w:rsidR="00EA1ED6" w:rsidRDefault="00EA1ED6" w:rsidP="00EA1ED6">
      <w:pPr>
        <w:ind w:firstLine="567"/>
        <w:jc w:val="both"/>
        <w:rPr>
          <w:rFonts w:eastAsia="Calibri"/>
          <w:sz w:val="24"/>
          <w:szCs w:val="24"/>
        </w:rPr>
      </w:pPr>
      <w:r w:rsidRPr="00EA1ED6">
        <w:rPr>
          <w:rFonts w:eastAsia="Calibri"/>
          <w:sz w:val="24"/>
          <w:szCs w:val="24"/>
        </w:rPr>
        <w:t>- деятельность по показу кинофильмов или видеороликов в кинотеатрах, на открытых площадках или в прочих местах, предназначенных для просмотра фильмов.</w:t>
      </w:r>
    </w:p>
    <w:p w:rsidR="00EA1ED6" w:rsidRDefault="00EA1ED6" w:rsidP="00813996">
      <w:pPr>
        <w:ind w:firstLine="567"/>
        <w:jc w:val="both"/>
        <w:rPr>
          <w:sz w:val="24"/>
          <w:szCs w:val="24"/>
        </w:rPr>
      </w:pPr>
      <w:r w:rsidRPr="00EA1ED6">
        <w:rPr>
          <w:sz w:val="24"/>
          <w:szCs w:val="24"/>
        </w:rPr>
        <w:t>Муниципальное задание МБУ «Юпитер» утверждено постановлением администрации Александровского  муниципального округа от 07.10.2022 № 1130 «Об утверждении муниципального задания муниципальному бюджетному учреждению «Юпитер» Александровского городского поселения на 2023 год и плановый период 2024 и 2025 годы».</w:t>
      </w:r>
    </w:p>
    <w:p w:rsidR="00EA1ED6" w:rsidRPr="00EA1ED6" w:rsidRDefault="00EA1ED6" w:rsidP="00EA1ED6">
      <w:pPr>
        <w:ind w:firstLine="567"/>
        <w:jc w:val="both"/>
        <w:rPr>
          <w:sz w:val="24"/>
          <w:szCs w:val="24"/>
        </w:rPr>
      </w:pPr>
      <w:r w:rsidRPr="00EA1ED6">
        <w:rPr>
          <w:sz w:val="24"/>
          <w:szCs w:val="24"/>
        </w:rPr>
        <w:t>Согласно сформированному муниципальному заданию МБУ «Юпитер» утверждены следующие муниципальные услуги:</w:t>
      </w:r>
    </w:p>
    <w:p w:rsidR="00EA1ED6" w:rsidRPr="00EA1ED6" w:rsidRDefault="00EA1ED6" w:rsidP="00EA1ED6">
      <w:pPr>
        <w:ind w:firstLine="567"/>
        <w:jc w:val="both"/>
        <w:rPr>
          <w:sz w:val="24"/>
          <w:szCs w:val="24"/>
        </w:rPr>
      </w:pPr>
      <w:r w:rsidRPr="00EA1ED6">
        <w:rPr>
          <w:sz w:val="24"/>
          <w:szCs w:val="24"/>
        </w:rPr>
        <w:t>- Показ кинофильмов;</w:t>
      </w:r>
    </w:p>
    <w:p w:rsidR="00EA1ED6" w:rsidRDefault="00EA1ED6" w:rsidP="00EA1ED6">
      <w:pPr>
        <w:ind w:firstLine="567"/>
        <w:jc w:val="both"/>
        <w:rPr>
          <w:sz w:val="24"/>
          <w:szCs w:val="24"/>
        </w:rPr>
      </w:pPr>
      <w:r w:rsidRPr="00EA1ED6">
        <w:rPr>
          <w:sz w:val="24"/>
          <w:szCs w:val="24"/>
        </w:rPr>
        <w:t>- Проведение занятий физкультурно-спортивной направленности по месту проживания граждан.</w:t>
      </w:r>
    </w:p>
    <w:p w:rsidR="007E51B2" w:rsidRPr="00856C5F" w:rsidRDefault="007E51B2" w:rsidP="007E51B2">
      <w:pPr>
        <w:ind w:firstLine="567"/>
        <w:jc w:val="both"/>
        <w:rPr>
          <w:i/>
          <w:sz w:val="24"/>
          <w:szCs w:val="24"/>
        </w:rPr>
      </w:pPr>
      <w:r w:rsidRPr="00856C5F">
        <w:rPr>
          <w:i/>
          <w:sz w:val="24"/>
          <w:szCs w:val="24"/>
        </w:rPr>
        <w:t>По результатам контрольного мероприятия выявлен</w:t>
      </w:r>
      <w:r w:rsidR="00C02307" w:rsidRPr="00856C5F">
        <w:rPr>
          <w:i/>
          <w:sz w:val="24"/>
          <w:szCs w:val="24"/>
        </w:rPr>
        <w:t>о следующее</w:t>
      </w:r>
      <w:r w:rsidRPr="00856C5F">
        <w:rPr>
          <w:i/>
          <w:sz w:val="24"/>
          <w:szCs w:val="24"/>
        </w:rPr>
        <w:t>: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1. </w:t>
      </w:r>
      <w:proofErr w:type="gramStart"/>
      <w:r w:rsidRPr="00B07404">
        <w:rPr>
          <w:sz w:val="24"/>
          <w:szCs w:val="24"/>
        </w:rPr>
        <w:t xml:space="preserve">В нарушение </w:t>
      </w:r>
      <w:proofErr w:type="spellStart"/>
      <w:r w:rsidRPr="00B07404">
        <w:rPr>
          <w:sz w:val="24"/>
          <w:szCs w:val="24"/>
        </w:rPr>
        <w:t>пп</w:t>
      </w:r>
      <w:proofErr w:type="spellEnd"/>
      <w:r w:rsidRPr="00B07404">
        <w:rPr>
          <w:sz w:val="24"/>
          <w:szCs w:val="24"/>
        </w:rPr>
        <w:t>. 1, 2 п. 5 ст. 69.2 Бюджетного кодекса РФ, Порядком формирования, финансового обеспечения и контроля выполнения муниципального задания на оказание муниципальных услуг (выполнение работ),  утвержденным  Постановлением администрации Александровского муниципального района Пермского края от 29.07.2019 № 319 (далее – Порядок № 319), не определены сроки формирования и утверждения муниципального задания, сроки определения объема финансового обеспечения выполнения муниципального задания.</w:t>
      </w:r>
      <w:proofErr w:type="gramEnd"/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2. В результате </w:t>
      </w:r>
      <w:proofErr w:type="gramStart"/>
      <w:r w:rsidRPr="00B07404">
        <w:rPr>
          <w:sz w:val="24"/>
          <w:szCs w:val="24"/>
        </w:rPr>
        <w:t>анализа соответствия утвержденной Методики расчета нормативных затрат</w:t>
      </w:r>
      <w:proofErr w:type="gramEnd"/>
      <w:r w:rsidRPr="00B07404">
        <w:rPr>
          <w:sz w:val="24"/>
          <w:szCs w:val="24"/>
        </w:rPr>
        <w:t xml:space="preserve"> на оказание муниципальными учреждениями сферы культуры и спорта Александровского муниципального округа муниципальных услуг, утвержденной  Постановлением администрации Александровского муниципального округа от 25.10.2021 № 693 (далее – Методика № 693), требованиям действующего законодательства установлено следующее: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proofErr w:type="gramStart"/>
      <w:r w:rsidRPr="00B07404">
        <w:rPr>
          <w:sz w:val="24"/>
          <w:szCs w:val="24"/>
        </w:rPr>
        <w:t xml:space="preserve">- состав и структура показателей нормативных затрат, утвержденных Методикой № 693, не соответствуют составу и структуре  показателей нормативных затрат, которые необходимо </w:t>
      </w:r>
      <w:r w:rsidRPr="00B07404">
        <w:rPr>
          <w:sz w:val="24"/>
          <w:szCs w:val="24"/>
        </w:rPr>
        <w:lastRenderedPageBreak/>
        <w:t>рассчитывать при определении нормативных затрат в соответствии с общими требованиями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</w:t>
      </w:r>
      <w:proofErr w:type="gramEnd"/>
      <w:r w:rsidRPr="00B07404">
        <w:rPr>
          <w:sz w:val="24"/>
          <w:szCs w:val="24"/>
        </w:rPr>
        <w:t xml:space="preserve"> (выполнение работ) государственным (муниципальным) учреждением, утвержденными приказом Министерства культуры Российской Федерации от 28.03.2019 № 357 (далее – приказ </w:t>
      </w:r>
      <w:proofErr w:type="spellStart"/>
      <w:r w:rsidRPr="00B07404">
        <w:rPr>
          <w:sz w:val="24"/>
          <w:szCs w:val="24"/>
        </w:rPr>
        <w:t>Минкульта</w:t>
      </w:r>
      <w:proofErr w:type="spellEnd"/>
      <w:r w:rsidRPr="00B07404">
        <w:rPr>
          <w:sz w:val="24"/>
          <w:szCs w:val="24"/>
        </w:rPr>
        <w:t xml:space="preserve"> РФ № 357).  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proofErr w:type="gramStart"/>
      <w:r w:rsidRPr="00B07404">
        <w:rPr>
          <w:sz w:val="24"/>
          <w:szCs w:val="24"/>
        </w:rPr>
        <w:t xml:space="preserve">- правила расчета нормативных затрат на оказание муниципальных услуг определенные Методикой № 693 противоречат приказу </w:t>
      </w:r>
      <w:proofErr w:type="spellStart"/>
      <w:r w:rsidRPr="00B07404">
        <w:rPr>
          <w:sz w:val="24"/>
          <w:szCs w:val="24"/>
        </w:rPr>
        <w:t>Минкульта</w:t>
      </w:r>
      <w:proofErr w:type="spellEnd"/>
      <w:r w:rsidRPr="00B07404">
        <w:rPr>
          <w:sz w:val="24"/>
          <w:szCs w:val="24"/>
        </w:rPr>
        <w:t xml:space="preserve"> РФ № 357, принципиально отличаются от общих требований установленных Министерством культуры РФ, то есть для расчета нормативных затрат используются не нормы материальных, технических и трудовых ресурсов, используемых для оказания муниципальной услуги в сфере культуры и кинематографии и нормативы потребления коммунальных, транспортных услуг, услуг связи и др., а</w:t>
      </w:r>
      <w:proofErr w:type="gramEnd"/>
      <w:r w:rsidRPr="00B07404">
        <w:rPr>
          <w:sz w:val="24"/>
          <w:szCs w:val="24"/>
        </w:rPr>
        <w:t xml:space="preserve"> фактические затраты и фактические объемы потребления услуг учреждением за предыдущие периоды деятельности.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3. </w:t>
      </w:r>
      <w:proofErr w:type="gramStart"/>
      <w:r w:rsidRPr="00B07404">
        <w:rPr>
          <w:sz w:val="24"/>
          <w:szCs w:val="24"/>
        </w:rPr>
        <w:t>Администрацией АМО неправомерно принято Постановление от 25.10.2021 № 695 «Об утверждении Порядка расчета и утверждения коэффициента выравнивания, применяемого при определении объема финансового обеспечения муниципального задания на оказание муниципальных услуг (выполнение работ) в отношении муниципальных учреждений Александровского муниципального округа», так как применение коэффициента выравнивания не предусмотрено нормативными правовыми актами АМО, определяющими порядок формирования, выполнения и финансового обеспечения муниципального задания.</w:t>
      </w:r>
      <w:proofErr w:type="gramEnd"/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4. Устав МБУ «Юпитер» содержит некорректную информацию об учредителе. В нарушение ст. 24 Федерального закона от 12.01.1996 № 7-ФЗ «О некоммерческих организациях» (далее – Закон № 7-ФЗ), деятельность по показу кинофильмов или видеороликов в кинотеатрах, на открытых площадках или в прочих местах, предназначенных для просмотра фильмов, не соответствует целям создания МБУ «Юпитер», определенных его Уставом.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5. В нарушен</w:t>
      </w:r>
      <w:r w:rsidR="009721A6">
        <w:rPr>
          <w:sz w:val="24"/>
          <w:szCs w:val="24"/>
        </w:rPr>
        <w:t>ие п. 4 ст. 9.2 Закона № 7-ФЗ, Ад</w:t>
      </w:r>
      <w:r w:rsidRPr="00B07404">
        <w:rPr>
          <w:sz w:val="24"/>
          <w:szCs w:val="24"/>
        </w:rPr>
        <w:t>министрацией АМО не разработан Порядок определения платы для физических и юридических лиц за услуги (работы), относящиеся к основным видам деятельности муниципального учреждения,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6. В нарушение п. 4 ст. 9.2 Закона № 7-ФЗ, МКУ «ЦБУ АМР» неправомочно своим приказом от 14.06.2022  № 186/1-л, утвердило методические рекомендации по формированию цен на платные услуги, оказываемые  муниципальными учреждениями АМО.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7. Методика оценки потребности, утвержденная Порядком № 319, составлена формально, в методике отсутствуют приемы и методы расчета прогнозных показателей для определения потребности в предоставлении муниципальных услуг.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8. В результате анализа формирования муниципального задания в части муниципальной услуги «Показ кинофильмов» установлено следующее: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- показатели качества оказываемой муниципальной услуги, утвержденные в муниципальном задании, «Удовлетворенность зрителей качеством оказываемой услуги, %»  не соответствует базовому перечню услуг, согласно которому качество муниципальной услуги отражает показатель «Средняя </w:t>
      </w:r>
      <w:proofErr w:type="spellStart"/>
      <w:r w:rsidRPr="00B07404">
        <w:rPr>
          <w:sz w:val="24"/>
          <w:szCs w:val="24"/>
        </w:rPr>
        <w:t>заполняемость</w:t>
      </w:r>
      <w:proofErr w:type="spellEnd"/>
      <w:r w:rsidRPr="00B07404">
        <w:rPr>
          <w:sz w:val="24"/>
          <w:szCs w:val="24"/>
        </w:rPr>
        <w:t xml:space="preserve"> кинотеатра (Процент)».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9. </w:t>
      </w:r>
      <w:proofErr w:type="gramStart"/>
      <w:r w:rsidRPr="00B07404">
        <w:rPr>
          <w:sz w:val="24"/>
          <w:szCs w:val="24"/>
        </w:rPr>
        <w:t>В нарушение п. 3 ст. 69.2 Бюджетного кодекса РФ, п. 2.2.3 Порядка № 319 муниципальная услуга «Проведение занятий физкультурно-спортивной направленности по месту проживания граждан» утвержденная муниципальным заданием МБУ «Юпитер» отсутствует в базовом и региональном перечнях услуг.</w:t>
      </w:r>
      <w:proofErr w:type="gramEnd"/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10. При оценке потребности в предоставлении муниципальных услуг в натуральном выражении прогнозные значения показателей объема муниципальных услуг на 2023-2025 годы не пересматривались, не учитывалась отрицательная динамика по количеству посещения кинотеатра зрителями.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lastRenderedPageBreak/>
        <w:t>11. Постановлением администрации АМО от 26.10.2022 № 1264 некорректно утверждены нормативные затраты и коэффициенты выравнивания, применяемые в отношении МБУ «Юпитер», изменение внесено только в феврале 2023 года постановлением администрации АМО от 14.02.2023 № 153.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12. Оценка потребности в предоставлении муниципальных услуг осуществлялась не в соответствии с Методикой № 693, так как в форме 7-НК отсутствовала информация о количестве посещений кинотеатра.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13. Система оплаты труда по должностям учреждений культуры (киномеханик и кассир кинотеатра) установлена Положением о системе </w:t>
      </w:r>
      <w:proofErr w:type="gramStart"/>
      <w:r w:rsidRPr="00B07404">
        <w:rPr>
          <w:sz w:val="24"/>
          <w:szCs w:val="24"/>
        </w:rPr>
        <w:t>оплаты труда работников муниципальных учреждений физической культуры</w:t>
      </w:r>
      <w:proofErr w:type="gramEnd"/>
      <w:r w:rsidRPr="00B07404">
        <w:rPr>
          <w:sz w:val="24"/>
          <w:szCs w:val="24"/>
        </w:rPr>
        <w:t xml:space="preserve"> и спорта, вместо работников учреждений культуры. Заработная плата киномеханика и кассира рассчитывалась без учета исполнения целевых показателей, в соответствии с  майскими Указами Президента РФ.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14. В нарушение п. 3.4.1 Порядка № 319, объем доходов от платной деятельности в рамках установленного муниципального задания учредителем не рассчитывался, а определялся на основании данных руководителя МБУ «Юпитер», без каких либо обоснований и расчетов.</w:t>
      </w:r>
    </w:p>
    <w:p w:rsid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15. В п. 6.4 муниципального задания </w:t>
      </w:r>
      <w:r w:rsidR="00635404">
        <w:rPr>
          <w:sz w:val="24"/>
          <w:szCs w:val="24"/>
        </w:rPr>
        <w:t>А</w:t>
      </w:r>
      <w:r w:rsidRPr="00B07404">
        <w:rPr>
          <w:sz w:val="24"/>
          <w:szCs w:val="24"/>
        </w:rPr>
        <w:t xml:space="preserve">дминистрацией АМО некорректно утвержден объем финансового обеспечения муниципальной услуги «Показ кинофильмов». 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В целом, в результате проведенной проверки, </w:t>
      </w:r>
      <w:r>
        <w:rPr>
          <w:sz w:val="24"/>
          <w:szCs w:val="24"/>
        </w:rPr>
        <w:t>КСП АМО сделало</w:t>
      </w:r>
      <w:r w:rsidRPr="00B07404">
        <w:rPr>
          <w:sz w:val="24"/>
          <w:szCs w:val="24"/>
        </w:rPr>
        <w:t xml:space="preserve"> следующие выводы: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В связи с тем, что применяемые порядок формирования и финансового обеспечения муниципального задания муниципальным бюджетным учреждениям АМО и методика расчета нормативных затрат противоречат требованиям Минфина России и Министерства культуры РФ, методика оценки потребности не учитывает реальную потребность населения в муниципальных услугах,  муниципальное задание МБУ «Юпитер» сформировано с нарушением: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- объем муниципального задания по муниципальной услуге «Показ кинофильмов» завышен для учреждения и не отражает действительную картину по количеству посещения кинотеатра зрителями (не учтена отрицательная динамика посещений), что приводит к тому, что учреждение не сможет его исполнить;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- нормативные затраты на оказание муниципальной услуги «Показ кинофильмов» определены администрацией АМО искаженно, так как сама Методика их расчета не соответствует законодательству; 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>-  объем финансового обеспечения муниципального задания определен неправильно, так как его расчет произведен на основе некорректно рассчитанных нормативных затрат и объема доходов от платной деятельности;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B07404">
        <w:rPr>
          <w:sz w:val="24"/>
          <w:szCs w:val="24"/>
        </w:rPr>
        <w:t>дминистрации АМО необходимо привести нормативные правовые акты и распорядительные документы, регламентирующие порядок формирования, финансового обеспечения муниципального задания на оказание муниципальных услуг бюджетных учреждений АМО в соответствие требованиями Минфина России и Министерства культуры РФ, а также, соответственно, произвести перерасчет финансового обеспечения муниципального задания на оказание муниципальных услуг МБУ «Юпитер».</w:t>
      </w:r>
    </w:p>
    <w:p w:rsidR="00B07404" w:rsidRPr="00B07404" w:rsidRDefault="00B07404" w:rsidP="00B07404">
      <w:pPr>
        <w:ind w:firstLine="567"/>
        <w:jc w:val="both"/>
        <w:rPr>
          <w:sz w:val="24"/>
          <w:szCs w:val="24"/>
        </w:rPr>
      </w:pPr>
      <w:r w:rsidRPr="00B07404">
        <w:rPr>
          <w:sz w:val="24"/>
          <w:szCs w:val="24"/>
        </w:rPr>
        <w:t xml:space="preserve">Также необходимо разработать и утвердить Порядок определения платы для физических и юридических лиц за услуги (работы), относящиеся к основным видам деятельности муниципального учреждения, оказываемые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для определения методики расчета величины платы за оказание услуг (выполнение работ) муниципальными казенными и бюджетными учреждениями АМО для граждан и юридических лиц. МБУ «Юпитер» произвести перерасчет платы для физических и юридических лиц за услуги (работы) в соответствии с указанным порядком. </w:t>
      </w:r>
    </w:p>
    <w:p w:rsidR="001C5EED" w:rsidRPr="00536DA8" w:rsidRDefault="001C5EED" w:rsidP="00D6699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536DA8">
        <w:rPr>
          <w:sz w:val="24"/>
          <w:szCs w:val="24"/>
        </w:rPr>
        <w:t xml:space="preserve">По результатам контрольного мероприятия </w:t>
      </w:r>
      <w:r w:rsidR="00635404">
        <w:rPr>
          <w:sz w:val="24"/>
          <w:szCs w:val="24"/>
        </w:rPr>
        <w:t>КСП АМО</w:t>
      </w:r>
      <w:r w:rsidRPr="00536DA8">
        <w:rPr>
          <w:sz w:val="24"/>
          <w:szCs w:val="24"/>
        </w:rPr>
        <w:t xml:space="preserve"> в адрес объект</w:t>
      </w:r>
      <w:r w:rsidR="00FE5F97" w:rsidRPr="00536DA8">
        <w:rPr>
          <w:sz w:val="24"/>
          <w:szCs w:val="24"/>
        </w:rPr>
        <w:t>а</w:t>
      </w:r>
      <w:r w:rsidR="00B47814" w:rsidRPr="00536DA8">
        <w:rPr>
          <w:sz w:val="24"/>
          <w:szCs w:val="24"/>
        </w:rPr>
        <w:t xml:space="preserve"> </w:t>
      </w:r>
      <w:r w:rsidRPr="00536DA8">
        <w:rPr>
          <w:sz w:val="24"/>
          <w:szCs w:val="24"/>
        </w:rPr>
        <w:t>контроля направлен</w:t>
      </w:r>
      <w:r w:rsidR="00D721B7" w:rsidRPr="00536DA8">
        <w:rPr>
          <w:sz w:val="24"/>
          <w:szCs w:val="24"/>
        </w:rPr>
        <w:t>о</w:t>
      </w:r>
      <w:r w:rsidR="00201CC5" w:rsidRPr="00536DA8">
        <w:rPr>
          <w:sz w:val="24"/>
          <w:szCs w:val="24"/>
        </w:rPr>
        <w:t xml:space="preserve"> пр</w:t>
      </w:r>
      <w:r w:rsidRPr="00536DA8">
        <w:rPr>
          <w:color w:val="000000"/>
          <w:sz w:val="24"/>
          <w:szCs w:val="24"/>
          <w:shd w:val="clear" w:color="auto" w:fill="FFFFFF"/>
        </w:rPr>
        <w:t>едставлени</w:t>
      </w:r>
      <w:r w:rsidR="00AA00D0" w:rsidRPr="00536DA8">
        <w:rPr>
          <w:color w:val="000000"/>
          <w:sz w:val="24"/>
          <w:szCs w:val="24"/>
          <w:shd w:val="clear" w:color="auto" w:fill="FFFFFF"/>
        </w:rPr>
        <w:t xml:space="preserve">е </w:t>
      </w:r>
      <w:r w:rsidRPr="00536DA8">
        <w:rPr>
          <w:color w:val="000000"/>
          <w:sz w:val="24"/>
          <w:szCs w:val="24"/>
          <w:shd w:val="clear" w:color="auto" w:fill="FFFFFF"/>
        </w:rPr>
        <w:t>об устранении выявленных нарушений и недостатков.</w:t>
      </w:r>
    </w:p>
    <w:p w:rsidR="005201A7" w:rsidRPr="00536DA8" w:rsidRDefault="00905E3D" w:rsidP="009C79E3">
      <w:pPr>
        <w:pStyle w:val="ab"/>
        <w:snapToGrid w:val="0"/>
        <w:ind w:firstLine="567"/>
        <w:jc w:val="both"/>
      </w:pPr>
      <w:r w:rsidRPr="00536DA8">
        <w:t>Отчет о результатах контрольного мероприятия утвержден</w:t>
      </w:r>
      <w:r w:rsidR="0093104C" w:rsidRPr="00536DA8">
        <w:t xml:space="preserve"> </w:t>
      </w:r>
      <w:r w:rsidRPr="00536DA8">
        <w:t>председател</w:t>
      </w:r>
      <w:r w:rsidR="00BA12DF" w:rsidRPr="00536DA8">
        <w:t>ем</w:t>
      </w:r>
      <w:r w:rsidR="00C23CFD" w:rsidRPr="00536DA8">
        <w:t xml:space="preserve"> </w:t>
      </w:r>
      <w:r w:rsidR="00B8559D" w:rsidRPr="00536DA8">
        <w:t>Контрольно-счетной палаты А</w:t>
      </w:r>
      <w:r w:rsidR="005201A7" w:rsidRPr="00536DA8">
        <w:t xml:space="preserve">лександровского муниципального округа </w:t>
      </w:r>
      <w:r w:rsidR="00B07404">
        <w:t>04.04.2023</w:t>
      </w:r>
      <w:r w:rsidR="00073B36" w:rsidRPr="00536DA8">
        <w:t xml:space="preserve"> </w:t>
      </w:r>
      <w:r w:rsidRPr="00536DA8">
        <w:t>года</w:t>
      </w:r>
      <w:r w:rsidR="005201A7" w:rsidRPr="00536DA8">
        <w:t>, направлен главе муниципального округа – главе администрации Александровского муниципального округа</w:t>
      </w:r>
      <w:r w:rsidR="00AA00D0" w:rsidRPr="00536DA8">
        <w:t>,</w:t>
      </w:r>
      <w:r w:rsidR="005201A7" w:rsidRPr="00536DA8">
        <w:t xml:space="preserve"> в Думу </w:t>
      </w:r>
      <w:r w:rsidR="005201A7" w:rsidRPr="00536DA8">
        <w:lastRenderedPageBreak/>
        <w:t>Алексан</w:t>
      </w:r>
      <w:r w:rsidR="00AA00D0" w:rsidRPr="00536DA8">
        <w:t>дровского муниципального округа.</w:t>
      </w:r>
    </w:p>
    <w:p w:rsidR="0064579B" w:rsidRPr="00536DA8" w:rsidRDefault="0064579B" w:rsidP="006457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579B" w:rsidRPr="00536DA8" w:rsidRDefault="0064579B" w:rsidP="009C79E3">
      <w:pPr>
        <w:pStyle w:val="ab"/>
        <w:snapToGrid w:val="0"/>
        <w:ind w:firstLine="567"/>
        <w:jc w:val="both"/>
      </w:pPr>
    </w:p>
    <w:p w:rsidR="000505B4" w:rsidRPr="00536DA8" w:rsidRDefault="000505B4" w:rsidP="00A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5B4" w:rsidRPr="00536DA8" w:rsidRDefault="000505B4" w:rsidP="00A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231" w:rsidRPr="00536DA8" w:rsidRDefault="00073B36" w:rsidP="00AA0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DA8">
        <w:rPr>
          <w:rFonts w:ascii="Times New Roman" w:hAnsi="Times New Roman" w:cs="Times New Roman"/>
          <w:sz w:val="24"/>
          <w:szCs w:val="24"/>
        </w:rPr>
        <w:t>П</w:t>
      </w:r>
      <w:r w:rsidR="000D773D" w:rsidRPr="00536DA8">
        <w:rPr>
          <w:rFonts w:ascii="Times New Roman" w:hAnsi="Times New Roman" w:cs="Times New Roman"/>
          <w:sz w:val="24"/>
          <w:szCs w:val="24"/>
        </w:rPr>
        <w:t>редседател</w:t>
      </w:r>
      <w:r w:rsidRPr="00536DA8">
        <w:rPr>
          <w:rFonts w:ascii="Times New Roman" w:hAnsi="Times New Roman" w:cs="Times New Roman"/>
          <w:sz w:val="24"/>
          <w:szCs w:val="24"/>
        </w:rPr>
        <w:t>ь</w:t>
      </w:r>
      <w:r w:rsidR="000E6231" w:rsidRPr="00536DA8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0E6231" w:rsidRPr="00F37873" w:rsidRDefault="000E6231" w:rsidP="00905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6DA8">
        <w:rPr>
          <w:rFonts w:ascii="Times New Roman" w:hAnsi="Times New Roman" w:cs="Times New Roman"/>
          <w:sz w:val="24"/>
          <w:szCs w:val="24"/>
        </w:rPr>
        <w:t>Александровского муниципальног</w:t>
      </w:r>
      <w:r w:rsidRPr="00B26415">
        <w:rPr>
          <w:rFonts w:ascii="Times New Roman" w:hAnsi="Times New Roman" w:cs="Times New Roman"/>
          <w:sz w:val="24"/>
          <w:szCs w:val="24"/>
        </w:rPr>
        <w:t>о</w:t>
      </w:r>
      <w:r w:rsidR="0017246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</w:t>
      </w:r>
      <w:r w:rsidR="006E492F">
        <w:rPr>
          <w:rFonts w:ascii="Times New Roman" w:hAnsi="Times New Roman" w:cs="Times New Roman"/>
          <w:sz w:val="24"/>
          <w:szCs w:val="24"/>
        </w:rPr>
        <w:t xml:space="preserve">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773D" w:rsidRPr="00B264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172463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</w:p>
    <w:sectPr w:rsidR="000E6231" w:rsidRPr="00F37873" w:rsidSect="00DB5EC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AA" w:rsidRDefault="00CB40AA" w:rsidP="000505B4">
      <w:r>
        <w:separator/>
      </w:r>
    </w:p>
  </w:endnote>
  <w:endnote w:type="continuationSeparator" w:id="0">
    <w:p w:rsidR="00CB40AA" w:rsidRDefault="00CB40AA" w:rsidP="0005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B4" w:rsidRDefault="00B5120E">
    <w:pPr>
      <w:pStyle w:val="a5"/>
      <w:jc w:val="center"/>
    </w:pPr>
    <w:fldSimple w:instr=" PAGE   \* MERGEFORMAT ">
      <w:r w:rsidR="00CC4AEC">
        <w:rPr>
          <w:noProof/>
        </w:rPr>
        <w:t>4</w:t>
      </w:r>
    </w:fldSimple>
  </w:p>
  <w:p w:rsidR="000505B4" w:rsidRDefault="00050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AA" w:rsidRDefault="00CB40AA" w:rsidP="000505B4">
      <w:r>
        <w:separator/>
      </w:r>
    </w:p>
  </w:footnote>
  <w:footnote w:type="continuationSeparator" w:id="0">
    <w:p w:rsidR="00CB40AA" w:rsidRDefault="00CB40AA" w:rsidP="00050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E45"/>
    <w:multiLevelType w:val="hybridMultilevel"/>
    <w:tmpl w:val="4CF6E380"/>
    <w:lvl w:ilvl="0" w:tplc="383234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D0724B"/>
    <w:multiLevelType w:val="multilevel"/>
    <w:tmpl w:val="9FC4B4F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0D1DC0"/>
    <w:multiLevelType w:val="hybridMultilevel"/>
    <w:tmpl w:val="26F4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1858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1C313BF"/>
    <w:multiLevelType w:val="multilevel"/>
    <w:tmpl w:val="F79A66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16BB27A4"/>
    <w:multiLevelType w:val="hybridMultilevel"/>
    <w:tmpl w:val="30209C60"/>
    <w:lvl w:ilvl="0" w:tplc="F8BC0B4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F2C1440"/>
    <w:multiLevelType w:val="multilevel"/>
    <w:tmpl w:val="EDBCC8B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9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2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03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04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7">
    <w:nsid w:val="1F80179C"/>
    <w:multiLevelType w:val="multilevel"/>
    <w:tmpl w:val="FD60DEF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207F66F3"/>
    <w:multiLevelType w:val="multilevel"/>
    <w:tmpl w:val="29DAD6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2" w:hanging="1800"/>
      </w:pPr>
      <w:rPr>
        <w:rFonts w:hint="default"/>
      </w:rPr>
    </w:lvl>
  </w:abstractNum>
  <w:abstractNum w:abstractNumId="9">
    <w:nsid w:val="22A43845"/>
    <w:multiLevelType w:val="hybridMultilevel"/>
    <w:tmpl w:val="D880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39E3"/>
    <w:multiLevelType w:val="hybridMultilevel"/>
    <w:tmpl w:val="1318F0F4"/>
    <w:lvl w:ilvl="0" w:tplc="73BED8E0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E680F83"/>
    <w:multiLevelType w:val="hybridMultilevel"/>
    <w:tmpl w:val="958805D8"/>
    <w:lvl w:ilvl="0" w:tplc="C50839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6D03F0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1C91AC8"/>
    <w:multiLevelType w:val="hybridMultilevel"/>
    <w:tmpl w:val="715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517BA"/>
    <w:multiLevelType w:val="hybridMultilevel"/>
    <w:tmpl w:val="489C100A"/>
    <w:lvl w:ilvl="0" w:tplc="EFA057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DF53080"/>
    <w:multiLevelType w:val="hybridMultilevel"/>
    <w:tmpl w:val="4E0E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A65BE"/>
    <w:multiLevelType w:val="hybridMultilevel"/>
    <w:tmpl w:val="048235CE"/>
    <w:lvl w:ilvl="0" w:tplc="327C35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FA405F4"/>
    <w:multiLevelType w:val="multilevel"/>
    <w:tmpl w:val="058C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101E66"/>
    <w:multiLevelType w:val="hybridMultilevel"/>
    <w:tmpl w:val="E3282B72"/>
    <w:lvl w:ilvl="0" w:tplc="A1D6061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567E6564"/>
    <w:multiLevelType w:val="hybridMultilevel"/>
    <w:tmpl w:val="9CFC1E84"/>
    <w:lvl w:ilvl="0" w:tplc="351A86B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1600B"/>
    <w:multiLevelType w:val="hybridMultilevel"/>
    <w:tmpl w:val="A254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B3494"/>
    <w:multiLevelType w:val="multilevel"/>
    <w:tmpl w:val="9F782A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2">
    <w:nsid w:val="5D50061C"/>
    <w:multiLevelType w:val="hybridMultilevel"/>
    <w:tmpl w:val="FEFCBAA4"/>
    <w:lvl w:ilvl="0" w:tplc="A98602E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5F731031"/>
    <w:multiLevelType w:val="multilevel"/>
    <w:tmpl w:val="B2F0275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60C3704E"/>
    <w:multiLevelType w:val="hybridMultilevel"/>
    <w:tmpl w:val="7946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20B2F"/>
    <w:multiLevelType w:val="hybridMultilevel"/>
    <w:tmpl w:val="D15097FC"/>
    <w:lvl w:ilvl="0" w:tplc="8DA699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52A0F0F"/>
    <w:multiLevelType w:val="hybridMultilevel"/>
    <w:tmpl w:val="56A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93486"/>
    <w:multiLevelType w:val="hybridMultilevel"/>
    <w:tmpl w:val="99BC4AFA"/>
    <w:lvl w:ilvl="0" w:tplc="B14424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7"/>
  </w:num>
  <w:num w:numId="2">
    <w:abstractNumId w:val="21"/>
  </w:num>
  <w:num w:numId="3">
    <w:abstractNumId w:val="0"/>
  </w:num>
  <w:num w:numId="4">
    <w:abstractNumId w:val="6"/>
  </w:num>
  <w:num w:numId="5">
    <w:abstractNumId w:val="16"/>
  </w:num>
  <w:num w:numId="6">
    <w:abstractNumId w:val="12"/>
  </w:num>
  <w:num w:numId="7">
    <w:abstractNumId w:val="23"/>
  </w:num>
  <w:num w:numId="8">
    <w:abstractNumId w:val="18"/>
  </w:num>
  <w:num w:numId="9">
    <w:abstractNumId w:val="10"/>
  </w:num>
  <w:num w:numId="10">
    <w:abstractNumId w:val="7"/>
  </w:num>
  <w:num w:numId="11">
    <w:abstractNumId w:val="17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5"/>
  </w:num>
  <w:num w:numId="17">
    <w:abstractNumId w:val="24"/>
  </w:num>
  <w:num w:numId="18">
    <w:abstractNumId w:val="9"/>
  </w:num>
  <w:num w:numId="19">
    <w:abstractNumId w:val="15"/>
  </w:num>
  <w:num w:numId="20">
    <w:abstractNumId w:val="26"/>
  </w:num>
  <w:num w:numId="21">
    <w:abstractNumId w:val="2"/>
  </w:num>
  <w:num w:numId="22">
    <w:abstractNumId w:val="20"/>
  </w:num>
  <w:num w:numId="23">
    <w:abstractNumId w:val="13"/>
  </w:num>
  <w:num w:numId="24">
    <w:abstractNumId w:val="4"/>
  </w:num>
  <w:num w:numId="25">
    <w:abstractNumId w:val="1"/>
  </w:num>
  <w:num w:numId="26">
    <w:abstractNumId w:val="19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6AB"/>
    <w:rsid w:val="000128E2"/>
    <w:rsid w:val="00012ED5"/>
    <w:rsid w:val="000311D9"/>
    <w:rsid w:val="000318A3"/>
    <w:rsid w:val="00035FAE"/>
    <w:rsid w:val="00044B62"/>
    <w:rsid w:val="00047097"/>
    <w:rsid w:val="000505B4"/>
    <w:rsid w:val="00063F2D"/>
    <w:rsid w:val="00073B36"/>
    <w:rsid w:val="00084709"/>
    <w:rsid w:val="00086DFD"/>
    <w:rsid w:val="000A084D"/>
    <w:rsid w:val="000A3E6A"/>
    <w:rsid w:val="000D60A2"/>
    <w:rsid w:val="000D773D"/>
    <w:rsid w:val="000E6231"/>
    <w:rsid w:val="000F50BA"/>
    <w:rsid w:val="000F7443"/>
    <w:rsid w:val="00101492"/>
    <w:rsid w:val="00102D00"/>
    <w:rsid w:val="001041BD"/>
    <w:rsid w:val="00104D69"/>
    <w:rsid w:val="00123FF3"/>
    <w:rsid w:val="00136A61"/>
    <w:rsid w:val="00136B83"/>
    <w:rsid w:val="00137E98"/>
    <w:rsid w:val="001414A6"/>
    <w:rsid w:val="00172463"/>
    <w:rsid w:val="00172D9E"/>
    <w:rsid w:val="00177D9F"/>
    <w:rsid w:val="00186DE7"/>
    <w:rsid w:val="0018759D"/>
    <w:rsid w:val="00187800"/>
    <w:rsid w:val="00192532"/>
    <w:rsid w:val="00197D8A"/>
    <w:rsid w:val="001A4030"/>
    <w:rsid w:val="001A4F9D"/>
    <w:rsid w:val="001B533C"/>
    <w:rsid w:val="001C2C13"/>
    <w:rsid w:val="001C389C"/>
    <w:rsid w:val="001C5EED"/>
    <w:rsid w:val="001C6DAD"/>
    <w:rsid w:val="001E24C1"/>
    <w:rsid w:val="001F48F1"/>
    <w:rsid w:val="001F5670"/>
    <w:rsid w:val="00201CC5"/>
    <w:rsid w:val="00211B3B"/>
    <w:rsid w:val="002218A9"/>
    <w:rsid w:val="00224176"/>
    <w:rsid w:val="00234125"/>
    <w:rsid w:val="00241FBD"/>
    <w:rsid w:val="002645DE"/>
    <w:rsid w:val="00272CCD"/>
    <w:rsid w:val="00275373"/>
    <w:rsid w:val="00275DB9"/>
    <w:rsid w:val="00277739"/>
    <w:rsid w:val="0028602C"/>
    <w:rsid w:val="00286B05"/>
    <w:rsid w:val="00292E1E"/>
    <w:rsid w:val="00295282"/>
    <w:rsid w:val="00295DCD"/>
    <w:rsid w:val="00297363"/>
    <w:rsid w:val="002A60F5"/>
    <w:rsid w:val="002A677D"/>
    <w:rsid w:val="002B3098"/>
    <w:rsid w:val="002C5285"/>
    <w:rsid w:val="002D3E1D"/>
    <w:rsid w:val="002E4899"/>
    <w:rsid w:val="002F1588"/>
    <w:rsid w:val="002F187C"/>
    <w:rsid w:val="0030240A"/>
    <w:rsid w:val="00305CF1"/>
    <w:rsid w:val="003115CE"/>
    <w:rsid w:val="003122DA"/>
    <w:rsid w:val="00315713"/>
    <w:rsid w:val="00320944"/>
    <w:rsid w:val="00322486"/>
    <w:rsid w:val="00335B5B"/>
    <w:rsid w:val="00337CD7"/>
    <w:rsid w:val="0035008A"/>
    <w:rsid w:val="00350A32"/>
    <w:rsid w:val="003532A7"/>
    <w:rsid w:val="003543FF"/>
    <w:rsid w:val="00371FC9"/>
    <w:rsid w:val="0037418E"/>
    <w:rsid w:val="003754C7"/>
    <w:rsid w:val="0038112C"/>
    <w:rsid w:val="003A0ACF"/>
    <w:rsid w:val="003B24D8"/>
    <w:rsid w:val="003B39CE"/>
    <w:rsid w:val="003D2FE8"/>
    <w:rsid w:val="003D5FDA"/>
    <w:rsid w:val="00404090"/>
    <w:rsid w:val="00410B3F"/>
    <w:rsid w:val="00421898"/>
    <w:rsid w:val="00427D41"/>
    <w:rsid w:val="004302E0"/>
    <w:rsid w:val="00431BB9"/>
    <w:rsid w:val="00433102"/>
    <w:rsid w:val="00444772"/>
    <w:rsid w:val="004457FA"/>
    <w:rsid w:val="00447157"/>
    <w:rsid w:val="00452C4C"/>
    <w:rsid w:val="00454125"/>
    <w:rsid w:val="00463F1A"/>
    <w:rsid w:val="00481AC8"/>
    <w:rsid w:val="00483877"/>
    <w:rsid w:val="004877DB"/>
    <w:rsid w:val="004916E4"/>
    <w:rsid w:val="00492F6E"/>
    <w:rsid w:val="00494652"/>
    <w:rsid w:val="0049556F"/>
    <w:rsid w:val="004A510F"/>
    <w:rsid w:val="004A65FE"/>
    <w:rsid w:val="004B2603"/>
    <w:rsid w:val="004B4C99"/>
    <w:rsid w:val="004B541D"/>
    <w:rsid w:val="004C4B3A"/>
    <w:rsid w:val="004D47CE"/>
    <w:rsid w:val="004E2B3D"/>
    <w:rsid w:val="004F11C9"/>
    <w:rsid w:val="00500564"/>
    <w:rsid w:val="005035D9"/>
    <w:rsid w:val="0050626B"/>
    <w:rsid w:val="0050763D"/>
    <w:rsid w:val="005134DE"/>
    <w:rsid w:val="005201A7"/>
    <w:rsid w:val="00522BDE"/>
    <w:rsid w:val="00524179"/>
    <w:rsid w:val="00530DA0"/>
    <w:rsid w:val="005312B3"/>
    <w:rsid w:val="00536DA8"/>
    <w:rsid w:val="005371F6"/>
    <w:rsid w:val="00551823"/>
    <w:rsid w:val="00555156"/>
    <w:rsid w:val="00557844"/>
    <w:rsid w:val="005676C3"/>
    <w:rsid w:val="005864B3"/>
    <w:rsid w:val="00596D8F"/>
    <w:rsid w:val="005B2C2A"/>
    <w:rsid w:val="005B370A"/>
    <w:rsid w:val="005B5627"/>
    <w:rsid w:val="005C0FA8"/>
    <w:rsid w:val="005C2249"/>
    <w:rsid w:val="005C5561"/>
    <w:rsid w:val="005D11B8"/>
    <w:rsid w:val="005D34BC"/>
    <w:rsid w:val="005D3EB3"/>
    <w:rsid w:val="005F5AA8"/>
    <w:rsid w:val="00611E9A"/>
    <w:rsid w:val="0061672F"/>
    <w:rsid w:val="00635404"/>
    <w:rsid w:val="0064579B"/>
    <w:rsid w:val="00655051"/>
    <w:rsid w:val="00664DC6"/>
    <w:rsid w:val="00681D2F"/>
    <w:rsid w:val="0068581F"/>
    <w:rsid w:val="006909F5"/>
    <w:rsid w:val="00691C08"/>
    <w:rsid w:val="006A783A"/>
    <w:rsid w:val="006A7895"/>
    <w:rsid w:val="006B2050"/>
    <w:rsid w:val="006B790D"/>
    <w:rsid w:val="006C4A89"/>
    <w:rsid w:val="006D0CB2"/>
    <w:rsid w:val="006D1418"/>
    <w:rsid w:val="006E1541"/>
    <w:rsid w:val="006E1B1E"/>
    <w:rsid w:val="006E3EA0"/>
    <w:rsid w:val="006E447C"/>
    <w:rsid w:val="006E492F"/>
    <w:rsid w:val="006E7B08"/>
    <w:rsid w:val="006F6216"/>
    <w:rsid w:val="00705B62"/>
    <w:rsid w:val="00705B66"/>
    <w:rsid w:val="00714586"/>
    <w:rsid w:val="00723514"/>
    <w:rsid w:val="007311AF"/>
    <w:rsid w:val="00745768"/>
    <w:rsid w:val="00747B4F"/>
    <w:rsid w:val="00751788"/>
    <w:rsid w:val="00751F59"/>
    <w:rsid w:val="007526F6"/>
    <w:rsid w:val="0078085F"/>
    <w:rsid w:val="00785C64"/>
    <w:rsid w:val="00791335"/>
    <w:rsid w:val="007A3DA0"/>
    <w:rsid w:val="007B116B"/>
    <w:rsid w:val="007C0B09"/>
    <w:rsid w:val="007C0C8D"/>
    <w:rsid w:val="007C545E"/>
    <w:rsid w:val="007C5CC5"/>
    <w:rsid w:val="007C6755"/>
    <w:rsid w:val="007C7487"/>
    <w:rsid w:val="007E42A7"/>
    <w:rsid w:val="007E51B2"/>
    <w:rsid w:val="007E561B"/>
    <w:rsid w:val="0080196A"/>
    <w:rsid w:val="008042DD"/>
    <w:rsid w:val="00810BFE"/>
    <w:rsid w:val="00813996"/>
    <w:rsid w:val="008208CC"/>
    <w:rsid w:val="00825BA3"/>
    <w:rsid w:val="008277D3"/>
    <w:rsid w:val="00835409"/>
    <w:rsid w:val="00856C5F"/>
    <w:rsid w:val="008938E0"/>
    <w:rsid w:val="008939E1"/>
    <w:rsid w:val="008A1E68"/>
    <w:rsid w:val="008A45BF"/>
    <w:rsid w:val="008C0A26"/>
    <w:rsid w:val="008C456A"/>
    <w:rsid w:val="008E3175"/>
    <w:rsid w:val="008E56DC"/>
    <w:rsid w:val="008F1415"/>
    <w:rsid w:val="008F46A9"/>
    <w:rsid w:val="00903869"/>
    <w:rsid w:val="00905E3D"/>
    <w:rsid w:val="00913123"/>
    <w:rsid w:val="0092005D"/>
    <w:rsid w:val="0093104C"/>
    <w:rsid w:val="00931529"/>
    <w:rsid w:val="00944AE6"/>
    <w:rsid w:val="00951029"/>
    <w:rsid w:val="00965C0C"/>
    <w:rsid w:val="009721A6"/>
    <w:rsid w:val="009741D8"/>
    <w:rsid w:val="009773A5"/>
    <w:rsid w:val="00987D1D"/>
    <w:rsid w:val="009907B6"/>
    <w:rsid w:val="0099195E"/>
    <w:rsid w:val="00997232"/>
    <w:rsid w:val="009979C6"/>
    <w:rsid w:val="009A21A3"/>
    <w:rsid w:val="009A2526"/>
    <w:rsid w:val="009A3B72"/>
    <w:rsid w:val="009C5D56"/>
    <w:rsid w:val="009C6AA4"/>
    <w:rsid w:val="009C79E3"/>
    <w:rsid w:val="009D13B4"/>
    <w:rsid w:val="009D6A89"/>
    <w:rsid w:val="009E68BB"/>
    <w:rsid w:val="00A0473D"/>
    <w:rsid w:val="00A050D7"/>
    <w:rsid w:val="00A17280"/>
    <w:rsid w:val="00A250CB"/>
    <w:rsid w:val="00A359FD"/>
    <w:rsid w:val="00A37B48"/>
    <w:rsid w:val="00A6229A"/>
    <w:rsid w:val="00A62AF5"/>
    <w:rsid w:val="00A64016"/>
    <w:rsid w:val="00A65DAB"/>
    <w:rsid w:val="00A66DD5"/>
    <w:rsid w:val="00A72C99"/>
    <w:rsid w:val="00A800FC"/>
    <w:rsid w:val="00A84B2D"/>
    <w:rsid w:val="00A8667A"/>
    <w:rsid w:val="00A9099F"/>
    <w:rsid w:val="00A961E5"/>
    <w:rsid w:val="00A96C6C"/>
    <w:rsid w:val="00AA00D0"/>
    <w:rsid w:val="00AA1A3A"/>
    <w:rsid w:val="00AA61B1"/>
    <w:rsid w:val="00AB0DD7"/>
    <w:rsid w:val="00AF0A2E"/>
    <w:rsid w:val="00B039DD"/>
    <w:rsid w:val="00B07404"/>
    <w:rsid w:val="00B14750"/>
    <w:rsid w:val="00B16FBF"/>
    <w:rsid w:val="00B178E7"/>
    <w:rsid w:val="00B23B9C"/>
    <w:rsid w:val="00B26415"/>
    <w:rsid w:val="00B302D2"/>
    <w:rsid w:val="00B32996"/>
    <w:rsid w:val="00B3565D"/>
    <w:rsid w:val="00B454F2"/>
    <w:rsid w:val="00B47814"/>
    <w:rsid w:val="00B5101C"/>
    <w:rsid w:val="00B5120E"/>
    <w:rsid w:val="00B53D4E"/>
    <w:rsid w:val="00B609D8"/>
    <w:rsid w:val="00B62922"/>
    <w:rsid w:val="00B71495"/>
    <w:rsid w:val="00B732B5"/>
    <w:rsid w:val="00B80BD8"/>
    <w:rsid w:val="00B8559D"/>
    <w:rsid w:val="00B91304"/>
    <w:rsid w:val="00B95D83"/>
    <w:rsid w:val="00BA12DF"/>
    <w:rsid w:val="00BA331C"/>
    <w:rsid w:val="00BA4CAF"/>
    <w:rsid w:val="00BB103E"/>
    <w:rsid w:val="00BB7777"/>
    <w:rsid w:val="00BC373A"/>
    <w:rsid w:val="00BC4689"/>
    <w:rsid w:val="00BD0A21"/>
    <w:rsid w:val="00BD5555"/>
    <w:rsid w:val="00BE7955"/>
    <w:rsid w:val="00C02307"/>
    <w:rsid w:val="00C02908"/>
    <w:rsid w:val="00C076AB"/>
    <w:rsid w:val="00C13E41"/>
    <w:rsid w:val="00C21313"/>
    <w:rsid w:val="00C2256E"/>
    <w:rsid w:val="00C23CFD"/>
    <w:rsid w:val="00C26D69"/>
    <w:rsid w:val="00C35E27"/>
    <w:rsid w:val="00C37611"/>
    <w:rsid w:val="00C3797A"/>
    <w:rsid w:val="00C40576"/>
    <w:rsid w:val="00C53FB9"/>
    <w:rsid w:val="00C629DE"/>
    <w:rsid w:val="00C7077A"/>
    <w:rsid w:val="00C72B3A"/>
    <w:rsid w:val="00C862B8"/>
    <w:rsid w:val="00C909A7"/>
    <w:rsid w:val="00C93597"/>
    <w:rsid w:val="00C94E71"/>
    <w:rsid w:val="00CA021A"/>
    <w:rsid w:val="00CA50C2"/>
    <w:rsid w:val="00CB40AA"/>
    <w:rsid w:val="00CC4AEC"/>
    <w:rsid w:val="00CE1AF2"/>
    <w:rsid w:val="00D00962"/>
    <w:rsid w:val="00D1000E"/>
    <w:rsid w:val="00D11C69"/>
    <w:rsid w:val="00D25EB5"/>
    <w:rsid w:val="00D303C7"/>
    <w:rsid w:val="00D57639"/>
    <w:rsid w:val="00D64F69"/>
    <w:rsid w:val="00D65168"/>
    <w:rsid w:val="00D6699A"/>
    <w:rsid w:val="00D669D7"/>
    <w:rsid w:val="00D721B7"/>
    <w:rsid w:val="00D767A9"/>
    <w:rsid w:val="00D8560C"/>
    <w:rsid w:val="00D90445"/>
    <w:rsid w:val="00D91307"/>
    <w:rsid w:val="00DA03D3"/>
    <w:rsid w:val="00DA2DFC"/>
    <w:rsid w:val="00DA4997"/>
    <w:rsid w:val="00DA6AB3"/>
    <w:rsid w:val="00DB08FE"/>
    <w:rsid w:val="00DB5EC7"/>
    <w:rsid w:val="00DB62E7"/>
    <w:rsid w:val="00DC1E14"/>
    <w:rsid w:val="00DD0766"/>
    <w:rsid w:val="00DD6F15"/>
    <w:rsid w:val="00DE3DF5"/>
    <w:rsid w:val="00E1082F"/>
    <w:rsid w:val="00E11EBF"/>
    <w:rsid w:val="00E17AA6"/>
    <w:rsid w:val="00E5284D"/>
    <w:rsid w:val="00E65D02"/>
    <w:rsid w:val="00E71113"/>
    <w:rsid w:val="00E77397"/>
    <w:rsid w:val="00E915D4"/>
    <w:rsid w:val="00E93120"/>
    <w:rsid w:val="00E97694"/>
    <w:rsid w:val="00EA1ED6"/>
    <w:rsid w:val="00EB239A"/>
    <w:rsid w:val="00EC10FF"/>
    <w:rsid w:val="00EC1E1D"/>
    <w:rsid w:val="00EC3FE5"/>
    <w:rsid w:val="00EE058A"/>
    <w:rsid w:val="00EE5E0A"/>
    <w:rsid w:val="00F0305F"/>
    <w:rsid w:val="00F04779"/>
    <w:rsid w:val="00F172B6"/>
    <w:rsid w:val="00F24F36"/>
    <w:rsid w:val="00F31B23"/>
    <w:rsid w:val="00F36EC3"/>
    <w:rsid w:val="00F37873"/>
    <w:rsid w:val="00F41504"/>
    <w:rsid w:val="00F42839"/>
    <w:rsid w:val="00F433EC"/>
    <w:rsid w:val="00F439CE"/>
    <w:rsid w:val="00F45235"/>
    <w:rsid w:val="00F66DC2"/>
    <w:rsid w:val="00F750B4"/>
    <w:rsid w:val="00F87301"/>
    <w:rsid w:val="00F91B0C"/>
    <w:rsid w:val="00F94F39"/>
    <w:rsid w:val="00FA5166"/>
    <w:rsid w:val="00FB22C7"/>
    <w:rsid w:val="00FC2B15"/>
    <w:rsid w:val="00FC68D8"/>
    <w:rsid w:val="00FD07F1"/>
    <w:rsid w:val="00FD58BE"/>
    <w:rsid w:val="00FE06A1"/>
    <w:rsid w:val="00FE3B0B"/>
    <w:rsid w:val="00FE5F97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6A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6A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C076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F4523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5235"/>
    <w:rPr>
      <w:rFonts w:eastAsia="Lucida Sans Unicode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050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5B4"/>
    <w:rPr>
      <w:sz w:val="28"/>
    </w:rPr>
  </w:style>
  <w:style w:type="character" w:styleId="a7">
    <w:name w:val="Hyperlink"/>
    <w:basedOn w:val="a0"/>
    <w:uiPriority w:val="99"/>
    <w:unhideWhenUsed/>
    <w:rsid w:val="00752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F36"/>
  </w:style>
  <w:style w:type="paragraph" w:customStyle="1" w:styleId="s1">
    <w:name w:val="s_1"/>
    <w:basedOn w:val="a"/>
    <w:rsid w:val="00BC373A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8C0A2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2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aliases w:val="Основной текст 2a"/>
    <w:basedOn w:val="a"/>
    <w:link w:val="aa"/>
    <w:rsid w:val="00172463"/>
    <w:pPr>
      <w:jc w:val="center"/>
    </w:pPr>
    <w:rPr>
      <w:b/>
      <w:sz w:val="24"/>
      <w:lang w:val="en-US"/>
    </w:rPr>
  </w:style>
  <w:style w:type="character" w:customStyle="1" w:styleId="aa">
    <w:name w:val="Основной текст Знак"/>
    <w:aliases w:val="Основной текст 2a Знак"/>
    <w:basedOn w:val="a0"/>
    <w:link w:val="a9"/>
    <w:rsid w:val="00172463"/>
    <w:rPr>
      <w:b/>
      <w:sz w:val="24"/>
      <w:lang w:val="en-US"/>
    </w:rPr>
  </w:style>
  <w:style w:type="paragraph" w:customStyle="1" w:styleId="pboth">
    <w:name w:val="pboth"/>
    <w:basedOn w:val="a"/>
    <w:rsid w:val="0017246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одержимое таблицы"/>
    <w:basedOn w:val="a"/>
    <w:rsid w:val="005201A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ConsNormal">
    <w:name w:val="ConsNormal"/>
    <w:rsid w:val="007E51B2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ac">
    <w:name w:val="Заголовок к тексту"/>
    <w:basedOn w:val="a"/>
    <w:next w:val="a9"/>
    <w:rsid w:val="007E51B2"/>
    <w:pPr>
      <w:suppressAutoHyphens/>
      <w:spacing w:after="240" w:line="240" w:lineRule="exact"/>
    </w:pPr>
    <w:rPr>
      <w:b/>
    </w:rPr>
  </w:style>
  <w:style w:type="character" w:customStyle="1" w:styleId="extendedtext-short">
    <w:name w:val="extendedtext-short"/>
    <w:basedOn w:val="a0"/>
    <w:rsid w:val="007E51B2"/>
  </w:style>
  <w:style w:type="paragraph" w:customStyle="1" w:styleId="ad">
    <w:name w:val="регистрационные поля"/>
    <w:basedOn w:val="a"/>
    <w:rsid w:val="007E51B2"/>
    <w:pPr>
      <w:spacing w:line="240" w:lineRule="exact"/>
      <w:jc w:val="center"/>
    </w:pPr>
    <w:rPr>
      <w:lang w:val="en-US"/>
    </w:rPr>
  </w:style>
  <w:style w:type="paragraph" w:styleId="2">
    <w:name w:val="Body Text Indent 2"/>
    <w:basedOn w:val="a"/>
    <w:link w:val="20"/>
    <w:rsid w:val="00C3797A"/>
    <w:pPr>
      <w:spacing w:after="120" w:line="480" w:lineRule="auto"/>
      <w:ind w:left="283"/>
    </w:pPr>
    <w:rPr>
      <w:rFonts w:eastAsia="SimSu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3797A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2BEE-3006-4BEB-8F89-70FFC8E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2021-09-09T11:07:00Z</cp:lastPrinted>
  <dcterms:created xsi:type="dcterms:W3CDTF">2022-11-24T05:53:00Z</dcterms:created>
  <dcterms:modified xsi:type="dcterms:W3CDTF">2023-05-11T08:54:00Z</dcterms:modified>
</cp:coreProperties>
</file>